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bookmarkStart w:id="0" w:name="_Hlk36734023"/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『高森町史』編さん業務委託仕様書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1　委託業務の概要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 xml:space="preserve"> 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(1)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委託業務の名称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『高森町史』編さん業務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 xml:space="preserve"> (2)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発行者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熊本県阿蘇郡高森町教育委員会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 xml:space="preserve"> 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(3)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編集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高森町史編さん委員会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 xml:space="preserve"> 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(4)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履行期限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契約日から令和7年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3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月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31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日まで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 xml:space="preserve"> 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5)委託業務の概要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『高森町史』編さんに関わる全業務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編さん委員会運営業務は除く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高森町史編さん基本方針を基に下記業務を行い、令和7年3月に『高森町史』（3冊組）を納めること。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下記業務内容は主な内容であり、他にも納本までに必要な事項が大いに考えられるため、各社から納品までの業務内容の提案を受け、決定する。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【主な業務内容】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・執筆者の人選及び交渉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・執筆者会議開催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執筆者への委託契約、支払い等含む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・制作に向けての実務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調査・編集・校正等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・書籍のサイズ、ページ数、頁当たりの文字数及び文字の大きさ・書体・紙質の選定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・組み見本の制作（本文レイアウト見本）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・旧町史の読み込み及び検討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・仕様、コンセプト等を加味した構成案の追加、削除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・制作期間、収集資料量・期間等を加味し、目次案中の編、章、節等の頁数割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・執筆要領の作成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・出典、凡例、参考文献等に関する表記の統一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・工程進行管理表の作成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・原稿管理表の作成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・写真・図版・表組管理表の作成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・本文体裁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挿入資料・引用文・出典等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、用字・用語、数字年号等の表記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・執筆に当たって必要となる資料収集先、収集状況の把握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・資料収集終了後の内容精査と読み込み検討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・文体等の修正作業及び内容精査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・町内、町外での取材活動に関する検討及び会議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・町内・町外での取材活動を行う際の執筆者への対応等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・撮影に関する検討及び会議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・撮影スケジュールの制作、撮影対象への撮影許可、了解取り作業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・資料提供者及び取材協力者への原稿進行における確認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・資料提供者及び取材協力者への完成原稿の確認と了解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lastRenderedPageBreak/>
        <w:t>・収集資料・写真に関する著作権及び著作権申請に関するアドバイス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・提出原稿及び写真、図版、表組の管理に関する検討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・時代考証等、史実との確認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・図版及び表組み作成に関する検討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・補充追加　資料収集及び取材活動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・印刷前の最終データ確認作業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・新聞社等マスコミ・県内自治体へのパブリシティに関する検討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・収集資料の整理に関する検討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 xml:space="preserve">　など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【特記事項】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ア編集業務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①読みやすいページデザインの提案と組見本の提示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編、章、節などの見出しと本文のバランス、文字の種類、色仕上がりなど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②原稿のチェックと修正点の指摘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・漢字、仮名遣い、送り仮名、注記などの表記や誤りのチェック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 xml:space="preserve">　→執筆要領を提案し、それに基づく内容精査を行う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・差別用語、不適切用語、固有名詞の誤り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・現存する人々に不快感を与える可能性のある表現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・年号、年数、地名、人名等の表記や誤りのチェック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・全体の文体の整合性、記述の重複のチェック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・難解な文章表現、文脈の乱れ等の誤り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・著作権等侵害の疑義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③写真、図、表などの適切な割り付けの提案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④引用資料、図版などの著作権、掲載許可に関するアドバイス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⑤原稿のチェックと修正点の指摘は各校正段階において行うこと。なお、執筆要領に基づく修正は各校正ゲラに反映すること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イ校正業務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①校正回数は原則3回、色校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口絵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)1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回とする。各校正段階において、本町ヘゲラを提出する前に必ず受託業者で校正を行う。また、校正は受託業者内で行い、第三者へ委託することを禁止する。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②初校終了後、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2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校までの間に原稿の一部変更がありうるものとする。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③校正ゲラは、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3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セットを町へ提出する。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ウ印刷業務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【高森町史　3冊組】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①発行部数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各2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0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0冊（3冊セット計600冊）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lastRenderedPageBreak/>
        <w:t>②規格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A4判・上製本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③印刷方法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オフセット印刷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④組体裁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本文　横組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⑤ページ数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750ページ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250ページ×3冊を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1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つのケースに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⑥写真点数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協議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⑦図版点数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協議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⑧本文用紙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書籍用紙72.5㎏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⑨本文刷色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1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色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+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1色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⑩口絵刷色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4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色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+4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色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⑪外字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常用漢字以外の文字を作成することがある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⑫ケース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化粧箱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ニス引き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⑬データ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DVDで3セット納品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⑭電子書籍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e-pub方式でのデータ納品（データ形式は変更の場合あり）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⑮その他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ab/>
        <w:t>最低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5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年間のデータ保管を行うこと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2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業務の遂行に関する注意事項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(1)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業務体制の確保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本業務の遂行に当たって、受託者は営業担当以外に制作に関する専任の業務責任者を置き、原稿のチェックを確実に履行できる体制を確保すること。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(2)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編さん業務の助言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本業務は通常の印刷物とは違い、編さん委員会との連携が必須である。作業工程内で不明な点を自由に相談し、助言を得られる人物と直接およびメール、電話等で打ち合わせができること。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(3)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執筆者等の選定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執筆者等については、次のいずれかに該当するものとする。</w:t>
      </w:r>
    </w:p>
    <w:p w:rsidR="00AF1974" w:rsidRPr="00AF1974" w:rsidRDefault="00AF1974" w:rsidP="00AF197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大学院で歴史学又は編集・</w:t>
      </w:r>
    </w:p>
    <w:p w:rsidR="00AF1974" w:rsidRPr="00AF1974" w:rsidRDefault="00AF1974" w:rsidP="00AF197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執筆を担当する分野の学科を専攻したもので、修士以上の学位を有している者。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③ 大学で歴史学又は編集・執筆を担当する分野の専門課程を修了し、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3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編以上の調査報告書もしくは学術論文の執筆歴がある者。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④ 自治体史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市町村史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の執筆歴がある者。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3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費用見積書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(1)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費用見積書には費用総額及び年度ごとの費用を記載する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取引に係る消費税及び地方消費税を含む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 xml:space="preserve"> 。※消費税については現在の税額10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%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で記載すること。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(2)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年度ごとの費用については積算内訳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別紙可・様式集参照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を記載する。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(3)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委託上限額は総額44,880,000円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(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取引に係る消費税及び地方消費税を含む</w:t>
      </w:r>
      <w:r w:rsidRPr="00AF1974">
        <w:rPr>
          <w:rFonts w:ascii="ＭＳ 明朝" w:eastAsia="ＭＳ 明朝" w:hAnsi="ＭＳ 明朝" w:cs="Yu Gothic UI"/>
          <w:kern w:val="0"/>
          <w:szCs w:val="21"/>
          <w:lang w:val="ja-JP"/>
        </w:rPr>
        <w:t>)</w:t>
      </w:r>
      <w:r w:rsidRPr="00AF1974">
        <w:rPr>
          <w:rFonts w:ascii="ＭＳ 明朝" w:eastAsia="ＭＳ 明朝" w:hAnsi="ＭＳ 明朝" w:cs="Yu Gothic UI" w:hint="eastAsia"/>
          <w:kern w:val="0"/>
          <w:szCs w:val="21"/>
          <w:lang w:val="ja-JP"/>
        </w:rPr>
        <w:t>とする。</w:t>
      </w:r>
    </w:p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Yu Gothic UI"/>
          <w:kern w:val="0"/>
          <w:szCs w:val="21"/>
          <w:lang w:val="ja-JP"/>
        </w:rPr>
      </w:pPr>
    </w:p>
    <w:bookmarkEnd w:id="0"/>
    <w:p w:rsidR="00AF1974" w:rsidRPr="00AF1974" w:rsidRDefault="00AF1974" w:rsidP="00AF1974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:rsidR="000518AC" w:rsidRPr="00AF1974" w:rsidRDefault="000518AC">
      <w:bookmarkStart w:id="1" w:name="_GoBack"/>
      <w:bookmarkEnd w:id="1"/>
    </w:p>
    <w:sectPr w:rsidR="000518AC" w:rsidRPr="00AF1974" w:rsidSect="00C73495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3557"/>
    <w:multiLevelType w:val="hybridMultilevel"/>
    <w:tmpl w:val="2A0C5BBC"/>
    <w:lvl w:ilvl="0" w:tplc="9D8E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74"/>
    <w:rsid w:val="000518AC"/>
    <w:rsid w:val="00A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4BF90-E579-43F8-9DEE-FAA54ABF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T123</dc:creator>
  <cp:keywords/>
  <dc:description/>
  <cp:lastModifiedBy>T123</cp:lastModifiedBy>
  <cp:revision>1</cp:revision>
  <dcterms:created xsi:type="dcterms:W3CDTF">2020-04-02T06:34:00Z</dcterms:created>
  <dcterms:modified xsi:type="dcterms:W3CDTF">2020-04-02T06:35:00Z</dcterms:modified>
</cp:coreProperties>
</file>